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20 141 vom 10. Dezember 2020</w:t>
      </w:r>
    </w:p>
    <w:p>
      <w:r>
        <w:t>VS Kantonsgericht, 2020-12-10, FR</w:t>
      </w:r>
    </w:p>
    <w:p>
      <w:r>
        <w:rPr>
          <w:b/>
        </w:rPr>
        <w:t xml:space="preserve">Quelle: </w:t>
      </w:r>
      <w:r>
        <w:t>https://mcp.opencaselaw.ch/entscheid/vs_gerichte_A1 20 141</w:t>
      </w:r>
    </w:p>
    <w:p>
      <w:r>
        <w:t>FR: VS_GERICHTE A1 20 141 du 10 décembre 2020</w:t>
      </w:r>
    </w:p>
    <w:p>
      <w:r>
        <w:t>IT: VS_GERICHTE A1 20 141 del 10 dicembre 2020</w:t>
      </w:r>
    </w:p>
    <w:p>
      <w:pPr>
        <w:pStyle w:val="Heading2"/>
      </w:pPr>
      <w:r>
        <w:t>Regeste</w:t>
      </w:r>
    </w:p>
    <w:p>
      <w:r>
        <w:t>A1 20 141 ARRÊT DU 10 DÉCEMBRE 2020 Tribunal cantonal du Valais Cour de droit public Composition : Christophe Joris, président ; Jean-Bernard Fournier et Thomas Brunner, juges ; Patrizia Pochon, greffière, en la cause X _________, et Y _________, recourants, tous deux représentés par Maître M _________ contre CONSEIL D'ETAT DU CANTON DU VALAIS, 1951 Sion, CONSEIL COMMUNAL DE A _________, et CONSEIL COMMUNAL DE B _________, autres autorités (Voie publique) recours de droit administratif contre la décision du 21 juillet 2020</w:t>
      </w:r>
    </w:p>
    <w:p>
      <w:pPr>
        <w:pStyle w:val="Heading2"/>
      </w:pPr>
      <w:r>
        <w:t>Erwägungen</w:t>
      </w:r>
    </w:p>
    <w:p>
      <w:r>
        <w:rPr>
          <w:b/>
        </w:rPr>
        <w:t>E. 1</w:t>
      </w:r>
    </w:p>
    <w:p>
      <w:r>
        <w:t>Les recourants concluent, à titre principal, à une déclaration de nullité de la décision de la CCSR du 27 juin 2020 (recte : 2018). En vertu de l'effet dévolutif complet du recours administratif, la décision du Conseil d'Etat s'est substituée de plein droit à celle de première instance (art. 47 et 60 LPJA ; Pierre Moor/Etienne Poltier, Droit administratif, Vol. II, 3e éd. 2011, p. 812). La question de la nullité de la décision de la CCSR du 27 juin 2018 ne se pose que pour autant que le raisonnement de l’autorité précédente concernant la validité de la décision litigieuse violerait le droit (art. 78 let. a LPJA). A cet égard, le Conseil d’Etat a retenu que la CCSR avait rendu une décision générale et collective dont la notification pouvait valablement intervenir sous la forme d’une publication, tel que cela avait été le cas céans (B.O. n° xxx du xxx 2018). Partant, il a estimé que l’absence au dossier de la décision formelle du 27 juin 2018 n’avait entraîné aucun préjudice pour les recourants, lesquels avaient valablement pu recourir, dans les délais et formes requis, à l’encontre de la décision querellée dont le contenu avait été publié au B.O. Les recourants ne s’en prennent pas valablement à ce raisonnement, lequel échappe à la critique, ce d’autant plus qu’ils reconnaissent avoir pu apprécier la modification de la signalisation projetée et l’étendue de la voie de dépassement supprimée. En outre, la nullité absolue ne frappe que les décisions affectées des vices les plus graves, manifestes ou particulièrement reconnaissables, hypothèse non remplie céans, et pour autant que la constatation de la nullité ne mette pas sérieusement en danger la sécurité du droit (ATF 139 II 243 consid. 11.2 ; arrêt du Tribunal fédéral 8C_242/2020 du 9 septembre 2020 consid. 6.2). Ainsi, des vices de procédure qui tiennent à des violations du droit d’être entendu sont en soi guérissables et ne conduisent en règle générale qu’à l’annulabilité de la décision entachée du vice (arrêt du Tribunal fédéral 8C_681/2016 du 17 août 2017 consid. 5.2). Partant, la conclusion principale dirigée contre la décision de la CCSR du 27 juin 2018, à laquelle s’est substituée celle du Conseil d’Etat du 21 juillet 2020, est irrecevable. Il en va de même de la conclusion subsidiaire visant à réaménager immédiatement la voie de</w:t>
      </w:r>
    </w:p>
    <w:p>
      <w:r>
        <w:t>- 10 - dépassement sur la route cantonale xxx C _________ – D _________, du PR xxx+xxx (recte : xxx+xxx) au PR xxx+xxx, avec la pose des signaux y relatifs, étant donné qu’il n’incombe pas à la Cour de céans d’arrêter la règlementation locale du trafic (art. 107 al. 1 OSR ; art. 3 al. 1 let. a LALCR et art. 4 let. d RSPR).</w:t>
      </w:r>
    </w:p>
    <w:p>
      <w:r>
        <w:rPr>
          <w:b/>
        </w:rPr>
        <w:t>E. 2</w:t>
      </w:r>
    </w:p>
    <w:p>
      <w:r>
        <w:t>Se pose ensuite la question de la qualité pour recourir de X _________ et de Y _________.</w:t>
      </w:r>
    </w:p>
    <w:p>
      <w:r>
        <w:rPr>
          <w:b/>
        </w:rPr>
        <w:t>E. 2.1</w:t>
      </w:r>
    </w:p>
    <w:p>
      <w:r>
        <w:t>Conformément à l’article 44 al. 1 LPJA, applicable ici par renvoi de l’article 80 al. 1 let. a LPJA, a qualité pour recourir quiconque est atteint par la décision et a un intérêt digne de protection à ce qu’elle soit annulée ou modifiée. La qualité pour recourir est examinée d’office par l’autorité saisie (art. 44 al. 3 LPJA). L'intérêt digne de protection au sens de cette disposition consiste en l'utilité pratique que l'admission du recours apporterait au recourant, en lui évitant de subir un préjudice de nature économique, idéale, matérielle ou autre que la décision attaquée lui occasionnerait (ATF 143 III 578 consid. 3.2.2.2). Il implique que le recourant soit touché de manière directe, concrète et dans une mesure et avec une intensité plus grandes que l'ensemble des administrés (ATF 138 II 162 consid. 2.1.2). En outre, l'intérêt invoqué - qui ne doit pas être juridiquement protégé, mais peut être un intérêt de fait - doit se trouver, avec l'objet de la contestation, dans un rapport étroit, spécial et digne d'être pris en considération. Le recours d'un particulier formé dans l'intérêt d'un tiers ou dans l'intérêt général est exclu. Cette exigence a été posée de manière à éviter l'action populaire (ATF 137 II 40 consid. 2.3). Enfin, la qualité pour recourir suppose l’existence d’un intérêt actuel à obtenir l’annulation de la décision attaquée (ATF 142 I 135 consid. 1.3.1).</w:t>
      </w:r>
    </w:p>
    <w:p>
      <w:r>
        <w:rPr>
          <w:b/>
        </w:rPr>
        <w:t>E. 2.2</w:t>
      </w:r>
    </w:p>
    <w:p>
      <w:r>
        <w:t>En matière de signalisation routière, la qualité pour recourir est reconnue aux riverains, ainsi qu’à toute personne qui utilise plus ou moins régulièrement la route concernée (résidents ou pendulaires), dans la mesure où ils subissent des inconvénients sensibles en lien avec la restriction contestée ; en revanche, l’intérêt n’est pas jugé suffisant lorsque le trajet n’est effectué que de manière occasionnelle (arrêt du Tribunal fédéral 1C_160/2012 du 10 décembre 2012 non publié aux ATF 139 II 145 et les réf. citées dont l’ATF 136 II 539 consid. 1.1 ; Eva Maria Belser in: Marcel Alexander Niggli / Thomas Probst / Bernhard Waldmann [édit.], Basler Kommentar / Strassenverkehrsgesetz [BK SVG], Bâle 2014, n. 90 ad art. 3 LCR). Le Tribunal fédéral a ainsi admis la qualité pour recourir à une sous-section du L _________ contre</w:t>
      </w:r>
    </w:p>
    <w:p>
      <w:r>
        <w:t>- 11 - l’instauration d’une zone 30 sur une route de grand transit (arrêts du Tribunal fédéral 1C_11/2017 du 2 mars 2018 consid. 1.1 et 1C_160/2012 précité consid. 1.2). Toutefois, le seul fait d’habiter à proximité d’une route frappée par une restriction de circulation ou d’y posséder un bien-fonds, respectivement d’utiliser régulièrement la route concernée ne confère pas, sans autre, a cette personne le droit de recourir ; encore doit-elle pouvoir se prévaloir d’un intérêt de fait ou de droit à l’annulation de la restriction en cause (André Bussy et al., Code suisse de la circulation commenté, 4e éd. 2015, n. 7.1.2 let. b ad art.</w:t>
      </w:r>
    </w:p>
    <w:p>
      <w:r>
        <w:rPr>
          <w:b/>
        </w:rPr>
        <w:t>E. 2.3</w:t>
      </w:r>
    </w:p>
    <w:p>
      <w:r>
        <w:t>En l’espèce, X _________, domicilié à A _________, emprunte très régulièrement, dans le cadre de son travail, la voie de circulation modifiée au volant de véhicules agricoles roulant à une vitesse modérée. A cet égard, il se prévaut que le trajet parcouru serait rendu plus dangereux pour lui dans le sens où certains « automobilistes allaient dépasser les véhicules lents [comme les siens] empruntant ce tronçon, malgré l’inexistence d’une voie pour ce faire, ce qui accentuait le risque de collision frontale ». Particulièrement atteint par la modification contestée, il possède ainsi un intérêt à son annulation de la décision attaquée. Au surplus, sous réserve de ce qui a été dit ci-avant (cf. supra consid. 1), le recours est recevable (art. 72, 78 let. a, 80 al. 1 let. b et c, 46 et 48 LPJA). Il en va différemment pour Y _________, domicilié à I _________, dont la qualité pour recourir doit par contre être niée. En effet, le simple fait d’être propriétaire d’une habitation sur la commune de J _________ et d’emprunter, lorsqu’il occupe cette dernière, le tronçon litigieux pour se rendre à son lieu de travail situé à I _________, commune où il est également domicilié, ne saurait, à eux seuls, suffire à lui conférer la qualité pour recourir. De plus, l’inconvénient dont il se plaint – soit la suppression d’une voie additionnelle – est mineur car il ne lui occasionne en définitive qu’un allongement du temps de trajet en véhicule de moindre importance (de l’ordre de quelques minutes seulement). En outre, il n’est pas soumis, davantage qu’un autre usager de la route, à un danger spécifique imputable à de possibles violations par des tiers des règles de la circulation, ce d’autant plus qu’il ne prétend pas conduire de véhicules lents, susceptibles</w:t>
      </w:r>
    </w:p>
    <w:p>
      <w:r>
        <w:t>- 12 - d’être dépassés en dépit de l’existence d’une voie additionnelle pour se faire. Partant, son recours doit être déclaré irrecevable (art. 80 al. 1 let. e et 59 LPJA).</w:t>
      </w:r>
    </w:p>
    <w:p>
      <w:r>
        <w:rPr>
          <w:b/>
        </w:rPr>
        <w:t>E. 3</w:t>
      </w:r>
    </w:p>
    <w:p>
      <w:r>
        <w:t>A la forme, X _________ invoque une violation de son droit d’être entendu (art. 29 al. 2 de la Constitution fédérale du 18 avril 1999 – Cst. ; RS 101) en tant que le Conseil d’Etat a rejeté les mesures d’instruction qu’il a sollicitées (édition par la police cantonale des rapports et dossiers relatifs aux cinq accidents dont il est fait état dans la proposition de modification de signalisation du 12 mars 2018, ainsi que des relevés de vitesse constatés avec l’indication des lieux exacts des contrôles effectués ; mise en œuvre d’une expertise ainsi que d’une vision locale ou plutôt « inspection des lieux » selon la terminologie utilisée par l’article 181 al. 1 CPC applicable par le renvoi de l’article 81 LPJA, ou encore « visite des lieux » au sens de l’article 20 LPJA).</w:t>
      </w:r>
    </w:p>
    <w:p>
      <w:r>
        <w:rPr>
          <w:b/>
        </w:rPr>
        <w:t>E. 3.1</w:t>
      </w:r>
    </w:p>
    <w:p>
      <w:r>
        <w:t>Le droit d’être entendu vise à la fois une instruction complète de l’état de fait et la protection des administrés en tant que personnes (ATF 144 I 11 consid. 5.2 ; arrêt du Tribunal fédéral 1C_583/2018 du 26 mars 2019 consid. 2.1 ; Thierry Tanquerel, op. cit., n. 1527, p. 519). Il comprend aussi le droit des parties de participer à la procédure et de présenter leurs moyens de preuve (art. 80 al. 1 let. d, 56 al. 1 et 17 al. 2 LPJA). Le droit de faire administrer les preuves n'est toutefois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et 142 I 86 consid. 2.2).</w:t>
      </w:r>
    </w:p>
    <w:p>
      <w:r>
        <w:rPr>
          <w:b/>
        </w:rPr>
        <w:t>E. 3.2</w:t>
      </w:r>
    </w:p>
    <w:p>
      <w:r>
        <w:t>Les limitations fonctionnelles du trafic, au sens de l'article 3 al. 4 LCR,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w:t>
      </w:r>
    </w:p>
    <w:p>
      <w:r>
        <w:t>- 13 - L'article 107 al. 5 OSR précise, quant à lui, que s'il est nécessaire d'ordonner une réglementation locale du trafic (au sens de l’article 3 al. 3 et 4 LCR ; v. à ce sujet, André Bussy, op. cit., n. 1.1 ad art. 107 OSR), on optera pour la mesure qui atteint son but en restreignant le moins possible la circulation. Cette disposition consacre le principe de la proportionnalité. Si les cantons et les communes jouissent d’un large pouvoir d’appréciation en matière de règlementation locale du trafic (ATF 136 II 539 consid. 3.2), les décisions prises sur la base de l’article 3 LCR doivent néanmoins respecter le principe de proportionnalité (art. 5 al. 2 Cst. ; André Bussy, op. cit., n. 5.7 ad art. 3 LCR). Ce principe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Thierry Tanquerel, Manuel de droit administratif, 2e éd. 2018, n. 550, p. 197). Une mesure viole ainsi le principe de la proportionnalité notamment si elle excède le but visé et ne se trouve pas dans un rapport raisonnable avec celui-ci et les intérêts compromis (ATF 130 I 65 consid. 3.5.1 ; arrêt du Tribunal 8C_24/2017 du 13 décembre 2017 consid. 3.4).</w:t>
      </w:r>
    </w:p>
    <w:p>
      <w:r>
        <w:rPr>
          <w:b/>
        </w:rPr>
        <w:t>E. 3.3</w:t>
      </w:r>
    </w:p>
    <w:p>
      <w:r>
        <w:t>Selon l’article 26 al. 1 OSR, le signal « Interdiction de dépasser » (2.44) interdit aux conducteurs de véhicules automobiles de dépasser des véhicules ayant les roues placées l’une à côté de l’autre, les tramways et les chemins de fer routiers, lorsque ces véhicules sont en marche.</w:t>
      </w:r>
    </w:p>
    <w:p>
      <w:r>
        <w:rPr>
          <w:b/>
        </w:rPr>
        <w:t>E. 3.4</w:t>
      </w:r>
    </w:p>
    <w:p>
      <w:r>
        <w:t>En l’espèce, le Conseil d’Etat n’a pas donné suite aux moyens de preuve requis estimant que « les rapports de statistiques déposés en cause et notamment le rapport de la gendarmerie, N _________, f[aisaient] état de multiples événements et infractions survenus sur [le] tronçon [incriminé] », raison ayant conduite la CCSR à le modifier. En outre, il a considéré que le dossier O _________ permettait « à tout le moins de rendre compte des lieux où les accidents mentionnés [s’étaient] produits » si bien qu’il apparaissait « peu pertinent d’établir à tout prix un lien strict entre la voie de dépassement désormais supprimée et les accidents constatés, puisque précisément leur survenance démontr[ait] d’un réel risque pour les usagers en ce lieu ». Enfin, le Conseil d’Etat a écarté la mise en œuvre d’une inspection des lieux et d’une expertise au motif que « le dossier transmis par la CCSR comportait toutes les pièces utiles à l’établissement des faits pertinents à la résolution du litige ».</w:t>
      </w:r>
    </w:p>
    <w:p>
      <w:r>
        <w:t>- 14 - Ce raisonnement ne convainc pas. En effet, il n’est pas contesté que la mesure envisagée telle que publiée au B.O. du xxx 2018 à savoir « [la] suppression d’une voie de dépassement et [l’]aménagement d’une bande cyclable sur la route cantonale xxx C _________ – D _________, tronçon E _________ – A _________, du PR xxx+xxx au PR xxx+xxx, [la] pose d’un signal OSR 2.44 ʺInterdiction de dépasserʺ muni de la plaque complémentaire OSR 5.04 ʺPlaque de rappelʺ [et la] suppression du signal OSR 4.77 ʺDisposition des voies de circulationʺ » constitue une limitation fonctionnelle du trafic au sens de l’article 3 al. 4 LCR devant respecter le principe de proportionnalité. Or, le Conseil d’Etat s’est fondé sur la proposition de modification du 12 mars 2018 de la police cantonale ainsi que sur les « statistiques et rapports [y relatifs] » pour admettre l’existence d’un intérêt public justifiant la mesure querellée. Ce faisant, il méconnaît que tant la proposition de la police cantonale du 12 mars 2018 que le rapport de la gendarmerie du même jour se réfèrent aux points de kilométrage xxx à xxx, sur territoire des communes de A _________ et de F _________, alors que la modification querellée s’étend, d’après la publication insérée au Bulletin officiel et les plans déposés en cause, du « PR xxx+xxx au PR xxx+xxx » sur « [c]ommunes de A _________ et de B _________ ». De plus, l’on cherche en vain l’existence de « multiples événements ou infractions » que ces documents permettraient d’attester. A cet égard, l’on ne saurait suivre l’autorité attaquée lorsqu’elle tient pour établi l’existence de risques de collision nés d’engorgement au giratoire G _________ ou de débouchés de camion en direction et/ou en provenance de la gravière dans la mesure où ces derniers ne sont nullement documentés. Dans ces circonstances, le Conseil d’Etat ne pouvait pas faire siennes les conclusions de la police cantonale sans instruction complémentaire permettant d’éclaircir la problématique susvisée et de prouver les allégations y figurant. S’agissant du rapport O _________, c’est à tort que le Conseil d’Etat retient qu’il rend possible la connaissance des « lieux où les accidents se sont produits » étant donné que les photographies accompagnant ce dernier ne permettent pas de déceler avec suffisamment de précision l’endroit où les incidents recensés se sont produits (double voie descendante ou unique voie ascendante). L’autorité attaquée ne pouvait dès lors se contenter d’affirmer que la survenance de ceux-ci démontrait d’un réel risque pour les usagers en ce lieu sans requérir au préalable l’édition des rapports de police y relatifs. De surcroît, l’impact de la voie additionnelle litigieuse dans la survenance des cinq accidents relatés ne ressort également pas de ce document vu que pour trois accidents il est fait mention d’une cause inconnue et que les deux restants sont imputables à une conduite inadaptée aux conditions du trafic. Il appartenait dès lors à l’autorité attaquée</w:t>
      </w:r>
    </w:p>
    <w:p>
      <w:r>
        <w:t>- 15 - d’apporter les clarifications nécessaires à cet égard avant de retenir l’existence de « manœuvres de dépassement dangereuses » liées à la voie additionnelle. Au vu de ce qui précède, le dossier lacunaire ne permettait ni à la CCSR ni au Conseil d’Etat de procéder à une analyse adéquate de la proportionnalité de la mesure envisagée telle que l’exigeait l’article 107 al. 5 OSR. En particulier, il ne ressort pas du dossier de la cause que la suppression de la voie additionnelle serait la mesure la moins incisive apte à atteindre le but visé vu que l’étude d’un abaissement de la vitesse telle que suggéré par l’OFROU, voire une autre alternative, n’ont pas sérieusement été envisagés. A cet égard, même si la CCSR dispose en la matière d’un large pouvoir d’appréciation, le Conseil d’Etat ne pouvait pas se contenter de l’affirmation laconique de cette dernière aux termes de laquelle celle-ci ne percevait pas « en quoi un abaissement de la vitesse sur cet axe international serait une mesure appropriée » vu qu’il convenait d’assurer « dans ce secteur, hors localité, une certaine fluidité du trafic même en cas de non-dépassement » pour écarter cette mesure, ce d’autant plus que l’expertise H _________ AG indique que la commune de B _________ souhaiterait développer la zone industrielle et la carrière se trouvant au-delà de la P _________ et que le conseil communal de cette dernière a fait savoir le 8 septembre 2020 (date du sceau postal) que les mesures d’accompagnement relatifs à la variante retenue prévoyaient notamment un abaissement de la vitesse à 60 km/h dans ce secteur. A cela s’ajoute que le Conseil d’Etat a fait fi des remarques de la CCSR selon lesquelles « sur un tel axe au trafic important, la pose de bandes [cyclables] n’apparai[ss]ait guère conseillée » quand bien même cette assertion se heurte tant à la décision publiée au B.O. du xxx 2018 qu’au rapport technique du 7 juin 2018 de H _________, sur lequel s’est notamment basée la CCSR pour instaurer la mesure querellée et duquel il ressort que la suppression de la voie de dépassement avait comme effet de rendre la chaussée « bien trop large pour marquer simplement deux voies de circulation » si bien que l’aménagement de bandes cyclables étaient préconisé. En présence d’une telle contradiction, le Conseil d’Etat ne pouvait également pas, sans investigation complémentaire, retenir que la mesure adoptée était apte à atteindre le but visé.</w:t>
      </w:r>
    </w:p>
    <w:p>
      <w:r>
        <w:rPr>
          <w:b/>
        </w:rPr>
        <w:t>E. 3.5</w:t>
      </w:r>
    </w:p>
    <w:p>
      <w:r>
        <w:t>En définitive, l’absence de pièces au dossier ne permet pas d’examiner si la mise en place de la signalisation litigieuse et les adaptations qui en découlent (suppression de la voie de dépassement) sont conformes au principe de proportionnalité. C’est ainsi à bon droit que le recourant X _________ se plaint d’une violation de son droit d’être entendu. La violation de ce droit de nature formelle conduit - indépendamment des</w:t>
      </w:r>
    </w:p>
    <w:p>
      <w:r>
        <w:t>- 16 - chances de succès du recours sur le fond - à l’admission du recours et à l’annulation de la décision attaquée (ATF 135 I 279 consid. 2.6.1). 4.1 Dans ces circonstances, le recours de X _________ doit être partiellement admis. Le prononcé attaqué est annulé et l’affaire est renvoyée au Conseil d’Etat pour instruction complémentaire et nouvelle décision dans le sens des considérants (art. 80 al. 1 let. e et 60 al. 1 LPJA). 4.2 Vu l’issue du litige, les frais de la cause doivent, en principe, être mis à la charge de Y _________ dont le recours a été déclaré irrecevable (art. 89 al. 1 LPJA) et qui n’a pas droit à des dépens (art. 91 al. 1 a contrario LPJA). Néanmoins, dans la mesure où l’examen de la Cour s’est limité à la qualité pour recourir de l’intéressé, il supportera des frais à hauteur de 1/3, le solde étant exceptionnellement remis (art. 89 al. 2 LPJA). Cela étant, en tenant compte des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à 1 500 francs. Partant, 500 fr. sont mis à la charge de Y _________ (1/3 x 1 500 fr.) et le solde de 1 000 fr. (2/3 x 1 500 fr.) est exceptionnellement remis. 4.3 X _________, qui obtient partiellement gain de cause et a pris une conclusion en ce sens, a droit à des dépens réduits (art. 91 al. 1 LPJA) à la charge de l’Etat du Valais. Cette indemnité est fixée de manière globale à 2 000 fr. (débours et TVA inclus), pour les deux instances (1re instance : 900 fr. ; 2e instance : 1 100 fr.). En sus de l’indemnisation des débours de cette partie, fixés forfaitairement à 100 fr. (pour les frais de copies [50 cts par page : ATF 118 Ib 349 consid. 5] et de port [selon le tarif postal ; cf. à ce sujet, RVJ 2002 p. 315]), ce montant tient compte de l’activité déployée par le mandataire du recourant devant le Conseil d’Etat, qui a consisté en la prise de connaissance du dossier, en la rédaction d’un recours de 7 pages et d’une réplique de 3 pages, d’une détermination de 2 pages, ainsi que celle déployée céans, laquelle a consisté essentiellement en la rédaction d’un recours de 12 pages et d’une détermination d’une page (art. 4, 27, 37 al. 2 et 39 de la loi du 11 février 2009 fixant le tarif des frais et dépens devant les autorités judiciaires ou administratives – LTar ; RS/VS 173.8).</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